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Пружинный хомут FBS DIN 3021-</w:t>
      </w:r>
      <w:r>
        <w:rPr>
          <w:rFonts w:ascii="Arial" w:hAnsi="Arial"/>
          <w:color w:val="000000"/>
          <w:sz w:val="28"/>
          <w:szCs w:val="28"/>
        </w:rPr>
        <w:t>А</w:t>
      </w:r>
      <w:r>
        <w:rPr>
          <w:rFonts w:ascii="Arial" w:hAnsi="Arial"/>
          <w:color w:val="000000"/>
          <w:sz w:val="28"/>
          <w:szCs w:val="28"/>
        </w:rPr>
        <w:t xml:space="preserve"> Homutprof</w:t>
      </w:r>
    </w:p>
    <w:p>
      <w:pPr>
        <w:pStyle w:val="Normal"/>
        <w:jc w:val="center"/>
        <w:rPr>
          <w:rFonts w:ascii="Arial" w:hAnsi="Arial"/>
          <w:color w:val="333333"/>
          <w:sz w:val="28"/>
          <w:szCs w:val="28"/>
        </w:rPr>
      </w:pPr>
      <w:r>
        <w:rPr>
          <w:rFonts w:ascii="Arial" w:hAnsi="Arial"/>
          <w:color w:val="333333"/>
          <w:sz w:val="28"/>
          <w:szCs w:val="28"/>
        </w:rPr>
      </w:r>
    </w:p>
    <w:p>
      <w:pPr>
        <w:pStyle w:val="NormalWeb"/>
        <w:shd w:val="clear" w:color="auto" w:fill="FFFFFF"/>
        <w:spacing w:before="280" w:afterAutospacing="0" w:after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Пружинные хомуты стандарта DIN 3021-</w:t>
      </w:r>
      <w:r>
        <w:rPr>
          <w:rFonts w:cs="Arial" w:ascii="Arial" w:hAnsi="Arial"/>
          <w:color w:val="333333"/>
          <w:sz w:val="20"/>
          <w:szCs w:val="20"/>
          <w:lang w:val="ru-RU"/>
        </w:rPr>
        <w:t>А</w:t>
      </w:r>
      <w:r>
        <w:rPr>
          <w:rFonts w:cs="Arial" w:ascii="Arial" w:hAnsi="Arial"/>
          <w:color w:val="333333"/>
          <w:sz w:val="20"/>
          <w:szCs w:val="20"/>
        </w:rPr>
        <w:t xml:space="preserve"> применяются для соединения шлангов системы охлаждения, водяного отопления, контуров циркуляции топлива и воздухопроводов.</w:t>
      </w:r>
    </w:p>
    <w:p>
      <w:pPr>
        <w:pStyle w:val="NormalWeb"/>
        <w:shd w:val="clear" w:color="auto" w:fill="FFFFFF"/>
        <w:spacing w:before="280" w:afterAutospacing="0" w:after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Данные хомуты хорошо подходят для соединений, подвергаемых сильным колебаниям температуры. После монтажа хомут обеспечивает постоянное подтягивание и поддержание радиального усилия</w:t>
      </w:r>
    </w:p>
    <w:p>
      <w:pPr>
        <w:pStyle w:val="NormalWeb"/>
        <w:shd w:val="clear" w:color="auto" w:fill="FFFFFF"/>
        <w:spacing w:before="280" w:afterAutospacing="0" w:after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Даже при низких температурах обеспечивается высокая надежность уплотнения. Благодаря заниженным ушкам хомуты требуют минимальной занимаемой площади.</w:t>
      </w:r>
    </w:p>
    <w:p>
      <w:pPr>
        <w:pStyle w:val="NormalWeb"/>
        <w:shd w:val="clear" w:color="auto" w:fill="FFFFFF"/>
        <w:spacing w:before="280" w:afterAutospacing="0" w:after="360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cs="Arial" w:ascii="Arial" w:hAnsi="Arial"/>
          <w:b/>
          <w:color w:val="333333"/>
          <w:sz w:val="20"/>
          <w:szCs w:val="20"/>
        </w:rPr>
        <w:t>Хомут может применяться многократно.</w:t>
      </w:r>
    </w:p>
    <w:p>
      <w:pPr>
        <w:pStyle w:val="Normal"/>
        <w:numPr>
          <w:ilvl w:val="0"/>
          <w:numId w:val="1"/>
        </w:numPr>
        <w:shd w:val="clear" w:color="auto" w:fill="FFFFFF"/>
        <w:spacing w:beforeAutospacing="1" w:after="0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При высоких температурах диаметр шланга увеличивается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Autospacing="1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Пружинный хомут следует за изменениями внутреннего давления шланга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/>
        <w:drawing>
          <wp:inline distT="0" distB="0" distL="0" distR="0">
            <wp:extent cx="2092325" cy="1711960"/>
            <wp:effectExtent l="0" t="0" r="0" b="0"/>
            <wp:docPr id="1" name="Рисунок 1" descr="Применение при высоких температу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енение при высоких температурах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2"/>
        </w:numPr>
        <w:shd w:val="clear" w:color="auto" w:fill="FFFFFF"/>
        <w:spacing w:beforeAutospacing="1" w:after="0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При низких температурах диаметр шланга уменьшается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="0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Пружинный хомут подтягивается</w:t>
      </w:r>
    </w:p>
    <w:p>
      <w:pPr>
        <w:pStyle w:val="Normal"/>
        <w:numPr>
          <w:ilvl w:val="0"/>
          <w:numId w:val="2"/>
        </w:numPr>
        <w:shd w:val="clear" w:color="auto" w:fill="FFFFFF"/>
        <w:spacing w:before="0" w:afterAutospacing="1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Зажимная сила сохраняется, и шланг остаётся зажатым</w:t>
      </w:r>
    </w:p>
    <w:p>
      <w:pPr>
        <w:pStyle w:val="ListParagraph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/>
        <w:drawing>
          <wp:inline distT="0" distB="0" distL="0" distR="0">
            <wp:extent cx="2092325" cy="1711960"/>
            <wp:effectExtent l="0" t="0" r="0" b="0"/>
            <wp:docPr id="2" name="Рисунок 3" descr="Применение при низких температу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Применение при низких температурах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eastAsia="Times New Roman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shd w:fill="FFFFFF" w:val="clear"/>
          <w:lang w:eastAsia="ru-RU" w:bidi="ar-SA"/>
        </w:rPr>
        <w:t>Для определения правильного типа хомута необходимо следующее:</w:t>
      </w:r>
    </w:p>
    <w:p>
      <w:pPr>
        <w:pStyle w:val="Normal"/>
        <w:numPr>
          <w:ilvl w:val="0"/>
          <w:numId w:val="3"/>
        </w:numPr>
        <w:shd w:val="clear" w:color="auto" w:fill="FFFFFF"/>
        <w:spacing w:beforeAutospacing="1" w:after="0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Надеть шланг на патрубок и измерить Dмин и Dмакс.</w:t>
        <w:br/>
        <w:t>Определить номинальный диаметр Dном требуемого хомута</w:t>
        <w:br/>
        <w:t>Dном=Dмин</w:t>
      </w:r>
    </w:p>
    <w:p>
      <w:pPr>
        <w:pStyle w:val="Normal"/>
        <w:numPr>
          <w:ilvl w:val="0"/>
          <w:numId w:val="3"/>
        </w:numPr>
        <w:shd w:val="clear" w:color="auto" w:fill="FFFFFF"/>
        <w:spacing w:before="0" w:afterAutospacing="1"/>
        <w:ind w:left="0" w:hanging="360"/>
        <w:rPr>
          <w:rFonts w:ascii="Arial" w:hAnsi="Arial" w:eastAsia="Times New Roman"/>
          <w:color w:val="333333"/>
          <w:kern w:val="0"/>
          <w:sz w:val="20"/>
          <w:szCs w:val="20"/>
          <w:lang w:eastAsia="ru-RU" w:bidi="ar-SA"/>
        </w:rPr>
      </w:pPr>
      <w:r>
        <w:rPr>
          <w:rFonts w:eastAsia="Times New Roman" w:ascii="Arial" w:hAnsi="Arial"/>
          <w:color w:val="333333"/>
          <w:kern w:val="0"/>
          <w:sz w:val="20"/>
          <w:szCs w:val="20"/>
          <w:lang w:eastAsia="ru-RU" w:bidi="ar-SA"/>
        </w:rPr>
        <w:t>Сравнить значение Dмакс с указанным минимальным диаметром Dоткр мин открытого хомута и выбрать требуемый хомут.</w:t>
        <w:br/>
        <w:t>Dоткр мин &gt; Dмакс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1147445"/>
            <wp:effectExtent l="0" t="0" r="0" b="0"/>
            <wp:docPr id="3" name="Изображение2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Схем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40" w:type="dxa"/>
        <w:jc w:val="left"/>
        <w:tblInd w:w="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4"/>
        <w:gridCol w:w="1635"/>
        <w:gridCol w:w="1040"/>
        <w:gridCol w:w="1120"/>
      </w:tblGrid>
      <w:tr>
        <w:trPr>
          <w:trHeight w:val="315" w:hRule="atLeast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13,0мм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1384FBS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8,4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13,5мм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13584FBS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8,4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14,0мм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1412FBS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15,0мм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1512FBS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16,0мм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1612FBS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17,0мм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1712FBS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18,0мм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1812FBS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19,0мм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1912FBS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20,0мм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2012FBS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21,0мм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2112FBS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22,0мм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2212FBS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23,0мм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2312FBS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24,0мм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2412FBS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25,0мм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2512FBS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26,0мм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2612FBS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27,0мм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2712FBS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28,0мм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2812FBS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29,0мм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2912FBS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30,0мм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3012FBS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32,0мм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3212FBS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35,0мм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3512FBS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36,0мм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3612FBS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38,0мм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3812FBS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40,0мм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4012FBS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42,0мм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4212FBS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43,0мм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4312FBS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44,0мм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4412FBS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46,0мм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4612FBS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47,0мм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4712FBS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49,0мм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4912FBS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50,0мм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5012FBS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51,0мм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5112FBS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5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Пружинный хомут 5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5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,0мм FBS DIN 3021-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А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 xml:space="preserve"> Homutprof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5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5</w:t>
            </w: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12FBS</w:t>
            </w:r>
          </w:p>
        </w:tc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12,0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ascii="Arial" w:hAnsi="Arial"/>
                <w:color w:val="000000"/>
                <w:kern w:val="0"/>
                <w:lang w:eastAsia="ru-RU" w:bidi="ar-SA"/>
              </w:rPr>
              <w:t>1,0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1517015" cy="1517015"/>
            <wp:effectExtent l="0" t="0" r="0" b="0"/>
            <wp:docPr id="4" name="Рисунок 5" descr="Пружинный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Пружинный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</w:t>
      </w:r>
      <w:r>
        <w:rPr/>
        <w:drawing>
          <wp:inline distT="0" distB="0" distL="0" distR="0">
            <wp:extent cx="1707515" cy="1138555"/>
            <wp:effectExtent l="0" t="0" r="0" b="0"/>
            <wp:docPr id="5" name="Рисунок 6" descr="Контур циркуляции топлива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Контур циркуляции топлива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7"/>
      <w:type w:val="nextPage"/>
      <w:pgSz w:w="11906" w:h="16838"/>
      <w:pgMar w:left="1134" w:right="1134" w:gutter="0" w:header="1134" w:top="2245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6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>
    <w:pPr>
      <w:pStyle w:val="Style20"/>
      <w:rPr/>
    </w:pPr>
    <w:hyperlink r:id="rId2">
      <w:r>
        <w:rPr>
          <w:rStyle w:val="-"/>
          <w:lang w:val="en-US"/>
        </w:rPr>
        <w:t>homutprof@mail.ru</w:t>
      </w:r>
    </w:hyperlink>
  </w:p>
  <w:p>
    <w:pPr>
      <w:pStyle w:val="Style20"/>
      <w:rPr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4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9f0"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 w:customStyle="1">
    <w:name w:val="Heading 2"/>
    <w:basedOn w:val="Style14"/>
    <w:next w:val="Style15"/>
    <w:qFormat/>
    <w:rsid w:val="00ec19f0"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74591d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4591d"/>
    <w:rPr>
      <w:rFonts w:ascii="Tahoma" w:hAnsi="Tahoma" w:cs="Mangal"/>
      <w:sz w:val="16"/>
      <w:szCs w:val="14"/>
    </w:rPr>
  </w:style>
  <w:style w:type="paragraph" w:styleId="Style14" w:customStyle="1">
    <w:name w:val="Заголовок"/>
    <w:basedOn w:val="Normal"/>
    <w:next w:val="Style15"/>
    <w:qFormat/>
    <w:rsid w:val="00ec19f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ec19f0"/>
    <w:pPr>
      <w:spacing w:lineRule="auto" w:line="276" w:before="0" w:after="140"/>
    </w:pPr>
    <w:rPr/>
  </w:style>
  <w:style w:type="paragraph" w:styleId="Style16">
    <w:name w:val="List"/>
    <w:basedOn w:val="Style15"/>
    <w:rsid w:val="00ec19f0"/>
    <w:pPr/>
    <w:rPr/>
  </w:style>
  <w:style w:type="paragraph" w:styleId="Style17" w:customStyle="1">
    <w:name w:val="Caption"/>
    <w:basedOn w:val="Normal"/>
    <w:qFormat/>
    <w:rsid w:val="00ec19f0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c19f0"/>
    <w:pPr>
      <w:suppressLineNumbers/>
    </w:pPr>
    <w:rPr/>
  </w:style>
  <w:style w:type="paragraph" w:styleId="Style19">
    <w:name w:val="Колонтитул"/>
    <w:basedOn w:val="Normal"/>
    <w:qFormat/>
    <w:pPr/>
    <w:rPr/>
  </w:style>
  <w:style w:type="paragraph" w:styleId="Style20" w:customStyle="1">
    <w:name w:val="Header"/>
    <w:basedOn w:val="Normal"/>
    <w:rsid w:val="00ec19f0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1" w:customStyle="1">
    <w:name w:val="Содержимое таблицы"/>
    <w:basedOn w:val="Normal"/>
    <w:qFormat/>
    <w:rsid w:val="00ec19f0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ec19f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3f5e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Hcenter" w:customStyle="1">
    <w:name w:val="hcenter"/>
    <w:basedOn w:val="Normal"/>
    <w:qFormat/>
    <w:rsid w:val="0074591d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4591d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4591d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hyperlink" Target="mailto:homutprof@mail.ru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LibreOffice/7.5.1.2$Windows_X86_64 LibreOffice_project/fcbaee479e84c6cd81291587d2ee68cba099e129</Application>
  <AppVersion>15.0000</AppVersion>
  <Pages>4</Pages>
  <Words>485</Words>
  <Characters>2896</Characters>
  <CharactersWithSpaces>3228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2023-01-29T10:32:00Z</dcterms:created>
  <dc:creator>User</dc:creator>
  <dc:description/>
  <dc:language>ru-RU</dc:language>
  <cp:lastModifiedBy/>
  <dcterms:modified xsi:type="dcterms:W3CDTF">2024-02-05T14:59:01Z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